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BE" w:rsidRPr="00BF276A" w:rsidRDefault="00625693" w:rsidP="00743FBE">
      <w:pPr>
        <w:spacing w:after="0"/>
        <w:rPr>
          <w:rFonts w:asciiTheme="majorHAnsi" w:hAnsiTheme="majorHAnsi"/>
          <w:b/>
          <w:sz w:val="28"/>
          <w:szCs w:val="28"/>
        </w:rPr>
      </w:pPr>
      <w:r w:rsidRPr="00BF276A">
        <w:rPr>
          <w:rFonts w:asciiTheme="majorHAnsi" w:hAnsiTheme="majorHAnsi"/>
          <w:noProof/>
        </w:rPr>
        <w:drawing>
          <wp:anchor distT="0" distB="0" distL="114300" distR="114300" simplePos="0" relativeHeight="251657728" behindDoc="0" locked="0" layoutInCell="1" allowOverlap="1" wp14:anchorId="3B06DA51" wp14:editId="10F2218E">
            <wp:simplePos x="0" y="0"/>
            <wp:positionH relativeFrom="column">
              <wp:posOffset>3270885</wp:posOffset>
            </wp:positionH>
            <wp:positionV relativeFrom="paragraph">
              <wp:posOffset>127000</wp:posOffset>
            </wp:positionV>
            <wp:extent cx="3195955" cy="1830070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183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D1C" w:rsidRPr="00BF276A">
        <w:rPr>
          <w:rFonts w:asciiTheme="majorHAnsi" w:hAnsiTheme="majorHAnsi"/>
          <w:b/>
          <w:sz w:val="28"/>
          <w:szCs w:val="28"/>
        </w:rPr>
        <w:t xml:space="preserve">Guide </w:t>
      </w:r>
      <w:r w:rsidR="00CE170D">
        <w:rPr>
          <w:rFonts w:asciiTheme="majorHAnsi" w:hAnsiTheme="majorHAnsi"/>
          <w:b/>
          <w:sz w:val="28"/>
          <w:szCs w:val="28"/>
        </w:rPr>
        <w:t>8</w:t>
      </w:r>
      <w:r w:rsidR="0072053F" w:rsidRPr="00BF276A">
        <w:rPr>
          <w:rFonts w:asciiTheme="majorHAnsi" w:hAnsiTheme="majorHAnsi"/>
          <w:b/>
          <w:sz w:val="28"/>
          <w:szCs w:val="28"/>
        </w:rPr>
        <w:t xml:space="preserve">: </w:t>
      </w:r>
      <w:r w:rsidR="00CE170D">
        <w:rPr>
          <w:rFonts w:asciiTheme="majorHAnsi" w:hAnsiTheme="majorHAnsi"/>
          <w:b/>
          <w:sz w:val="28"/>
          <w:szCs w:val="28"/>
        </w:rPr>
        <w:t xml:space="preserve">Evidence Collection - </w:t>
      </w:r>
      <w:r w:rsidR="00172300">
        <w:rPr>
          <w:rFonts w:asciiTheme="majorHAnsi" w:hAnsiTheme="majorHAnsi"/>
          <w:b/>
          <w:sz w:val="28"/>
          <w:szCs w:val="28"/>
        </w:rPr>
        <w:t>Artifacts</w:t>
      </w:r>
      <w:r w:rsidR="00BF276A" w:rsidRPr="00BF276A">
        <w:rPr>
          <w:rFonts w:asciiTheme="majorHAnsi" w:hAnsiTheme="majorHAnsi"/>
          <w:b/>
          <w:sz w:val="28"/>
          <w:szCs w:val="28"/>
        </w:rPr>
        <w:br/>
      </w:r>
    </w:p>
    <w:p w:rsidR="00743FBE" w:rsidRPr="00BF276A" w:rsidRDefault="00743FBE" w:rsidP="00743FBE">
      <w:pPr>
        <w:spacing w:after="0"/>
        <w:rPr>
          <w:rFonts w:asciiTheme="majorHAnsi" w:hAnsiTheme="majorHAnsi"/>
          <w:b/>
        </w:rPr>
      </w:pPr>
      <w:r w:rsidRPr="00BF276A">
        <w:rPr>
          <w:rFonts w:asciiTheme="majorHAnsi" w:hAnsiTheme="majorHAnsi"/>
          <w:b/>
        </w:rPr>
        <w:t>Overview</w:t>
      </w:r>
    </w:p>
    <w:p w:rsidR="00172300" w:rsidRPr="00BA495A" w:rsidRDefault="00172300" w:rsidP="00172300">
      <w:pPr>
        <w:spacing w:after="0"/>
      </w:pPr>
      <w:r>
        <w:t xml:space="preserve">Along with classroom observations, evaluators will use artifacts </w:t>
      </w:r>
      <w:r w:rsidR="00CA5928">
        <w:t xml:space="preserve">as evidence </w:t>
      </w:r>
      <w:r>
        <w:t>to determine</w:t>
      </w:r>
      <w:r w:rsidR="00CA5928">
        <w:t xml:space="preserve"> </w:t>
      </w:r>
      <w:r>
        <w:t>formative and summative evaluations of their teachers.  After an evaluator approves an educator’s goals, both educators and evaluators may submit artifacts to the online Employee</w:t>
      </w:r>
      <w:r w:rsidR="00CA5928">
        <w:t xml:space="preserve"> Development and Feedback S</w:t>
      </w:r>
      <w:r>
        <w:t xml:space="preserve">ystem throughout the year.  The evaluator will use these artifacts to determine professional growth based on both the teacher’s Student Learning/Professional Practice Goals and </w:t>
      </w:r>
      <w:r w:rsidR="00CA5928">
        <w:t xml:space="preserve">proficiency in </w:t>
      </w:r>
      <w:r>
        <w:t xml:space="preserve">the four Standards in the Effective Teaching Rubric.  </w:t>
      </w:r>
    </w:p>
    <w:p w:rsidR="009F7079" w:rsidRPr="00BF276A" w:rsidRDefault="009F7079" w:rsidP="00743FBE">
      <w:pPr>
        <w:spacing w:after="0"/>
        <w:rPr>
          <w:rFonts w:asciiTheme="majorHAnsi" w:hAnsiTheme="majorHAnsi"/>
          <w:b/>
        </w:rPr>
      </w:pPr>
    </w:p>
    <w:p w:rsidR="00743FBE" w:rsidRPr="00BF276A" w:rsidRDefault="00743FBE" w:rsidP="00743FBE">
      <w:pPr>
        <w:spacing w:after="0"/>
        <w:rPr>
          <w:rFonts w:asciiTheme="majorHAnsi" w:hAnsiTheme="majorHAnsi"/>
          <w:b/>
        </w:rPr>
      </w:pPr>
      <w:r w:rsidRPr="00BF276A">
        <w:rPr>
          <w:rFonts w:asciiTheme="majorHAnsi" w:hAnsiTheme="majorHAnsi"/>
          <w:b/>
        </w:rPr>
        <w:t>Requirements</w:t>
      </w:r>
    </w:p>
    <w:p w:rsidR="00172300" w:rsidRPr="00BA495A" w:rsidRDefault="00CA5928" w:rsidP="00172300">
      <w:pPr>
        <w:numPr>
          <w:ilvl w:val="0"/>
          <w:numId w:val="1"/>
        </w:numPr>
        <w:spacing w:after="0"/>
      </w:pPr>
      <w:r>
        <w:t>Artifacts must provide evidence for progress toward goals as well as</w:t>
      </w:r>
      <w:r w:rsidR="00172300">
        <w:t xml:space="preserve"> the four standards. </w:t>
      </w:r>
      <w:r>
        <w:t xml:space="preserve"> Both these forms of assessment</w:t>
      </w:r>
      <w:r w:rsidR="00172300">
        <w:t xml:space="preserve"> go into a teacher’s evaluation.  </w:t>
      </w:r>
    </w:p>
    <w:p w:rsidR="00172300" w:rsidRPr="00BA495A" w:rsidRDefault="00172300" w:rsidP="00172300">
      <w:pPr>
        <w:numPr>
          <w:ilvl w:val="0"/>
          <w:numId w:val="1"/>
        </w:numPr>
        <w:spacing w:after="0"/>
      </w:pPr>
      <w:r>
        <w:t xml:space="preserve">Artifacts should reflect </w:t>
      </w:r>
      <w:r w:rsidR="00CA5928">
        <w:t xml:space="preserve">a </w:t>
      </w:r>
      <w:r>
        <w:t>scope of evidence</w:t>
      </w:r>
      <w:r w:rsidR="00CA5928">
        <w:t xml:space="preserve"> that is</w:t>
      </w:r>
      <w:r w:rsidR="00CA5928" w:rsidRPr="00CA5928">
        <w:t xml:space="preserve"> </w:t>
      </w:r>
      <w:r w:rsidR="00CA5928">
        <w:t xml:space="preserve">appropriate for </w:t>
      </w:r>
      <w:r w:rsidR="004456D7">
        <w:t>interpretation</w:t>
      </w:r>
      <w:r>
        <w:t xml:space="preserve"> (</w:t>
      </w:r>
      <w:proofErr w:type="spellStart"/>
      <w:r>
        <w:t>ie</w:t>
      </w:r>
      <w:proofErr w:type="spellEnd"/>
      <w:r>
        <w:t xml:space="preserve">, </w:t>
      </w:r>
      <w:r w:rsidR="00CA5928">
        <w:t xml:space="preserve">one student’s work does </w:t>
      </w:r>
      <w:r>
        <w:t xml:space="preserve">not provide </w:t>
      </w:r>
      <w:r w:rsidR="00CA5928">
        <w:t>enough evidence to reflect the work of</w:t>
      </w:r>
      <w:r>
        <w:t xml:space="preserve"> an entire class).  </w:t>
      </w:r>
    </w:p>
    <w:p w:rsidR="00076800" w:rsidRDefault="00172300" w:rsidP="00076800">
      <w:pPr>
        <w:numPr>
          <w:ilvl w:val="0"/>
          <w:numId w:val="1"/>
        </w:numPr>
        <w:spacing w:after="0"/>
      </w:pPr>
      <w:r>
        <w:t xml:space="preserve">When submitting artifacts online, </w:t>
      </w:r>
      <w:r w:rsidR="004456D7">
        <w:t>teachers and evaluators will</w:t>
      </w:r>
      <w:r>
        <w:t xml:space="preserve"> provide a</w:t>
      </w:r>
      <w:r w:rsidR="004456D7">
        <w:t xml:space="preserve"> rationale for what evidence of professional growth the artifact </w:t>
      </w:r>
      <w:r>
        <w:t>provide</w:t>
      </w:r>
      <w:r w:rsidR="004456D7">
        <w:t>s</w:t>
      </w:r>
      <w:r>
        <w:t xml:space="preserve">.  </w:t>
      </w:r>
      <w:r w:rsidR="004456D7">
        <w:t xml:space="preserve"> </w:t>
      </w:r>
    </w:p>
    <w:p w:rsidR="00172300" w:rsidRPr="00BA495A" w:rsidRDefault="00076800" w:rsidP="00076800">
      <w:pPr>
        <w:numPr>
          <w:ilvl w:val="0"/>
          <w:numId w:val="1"/>
        </w:numPr>
        <w:spacing w:after="0"/>
      </w:pPr>
      <w:r>
        <w:t xml:space="preserve">Well-written rationales that accompany submitted artifacts should clearly indicate goal progress or the proficiency language in the Effective Teaching Rubric.   </w:t>
      </w:r>
    </w:p>
    <w:p w:rsidR="00BA495A" w:rsidRPr="00BF276A" w:rsidRDefault="00BA495A" w:rsidP="00BA495A">
      <w:pPr>
        <w:spacing w:after="0"/>
        <w:ind w:left="720"/>
        <w:rPr>
          <w:rFonts w:asciiTheme="majorHAnsi" w:hAnsiTheme="majorHAnsi"/>
        </w:rPr>
      </w:pPr>
    </w:p>
    <w:p w:rsidR="00743FBE" w:rsidRPr="00BF276A" w:rsidRDefault="00743FBE" w:rsidP="00743FBE">
      <w:pPr>
        <w:spacing w:after="0"/>
        <w:rPr>
          <w:rFonts w:asciiTheme="majorHAnsi" w:hAnsiTheme="majorHAnsi"/>
          <w:b/>
        </w:rPr>
      </w:pPr>
      <w:r w:rsidRPr="00BF276A">
        <w:rPr>
          <w:rFonts w:asciiTheme="majorHAnsi" w:hAnsiTheme="majorHAnsi"/>
          <w:b/>
        </w:rPr>
        <w:t>Best Practices</w:t>
      </w:r>
    </w:p>
    <w:p w:rsidR="00CA5928" w:rsidRDefault="004456D7" w:rsidP="004456D7">
      <w:pPr>
        <w:numPr>
          <w:ilvl w:val="0"/>
          <w:numId w:val="1"/>
        </w:numPr>
        <w:spacing w:after="0"/>
      </w:pPr>
      <w:r>
        <w:t xml:space="preserve">Artifacts can take the form of (but </w:t>
      </w:r>
      <w:r w:rsidR="00947A8B">
        <w:t xml:space="preserve">are </w:t>
      </w:r>
      <w:r>
        <w:t>not limited to) student assessment data, student work, lesson plan</w:t>
      </w:r>
      <w:r w:rsidR="00947A8B">
        <w:t>s</w:t>
      </w:r>
      <w:r>
        <w:t xml:space="preserve"> (with modifications), teacher-made assessments, student surveys, </w:t>
      </w:r>
      <w:r w:rsidR="00D91440">
        <w:t>types</w:t>
      </w:r>
      <w:r>
        <w:t xml:space="preserve"> of parent communication and reports on performance based on conferences and team meetings.</w:t>
      </w:r>
    </w:p>
    <w:p w:rsidR="004456D7" w:rsidRDefault="00CA5928" w:rsidP="004456D7">
      <w:pPr>
        <w:numPr>
          <w:ilvl w:val="0"/>
          <w:numId w:val="1"/>
        </w:numPr>
        <w:spacing w:after="0"/>
      </w:pPr>
      <w:r>
        <w:t xml:space="preserve">Artifacts should be submitted electronically. Hard copies of </w:t>
      </w:r>
      <w:r w:rsidR="00535D1E">
        <w:t xml:space="preserve">artifacts </w:t>
      </w:r>
      <w:r>
        <w:t>documents should be scanned in order to be uploaded into the EDFS</w:t>
      </w:r>
      <w:r w:rsidR="00535D1E">
        <w:t>. Alternatively, evaluators can enter notes in the EDFS summarizing hard-copy d</w:t>
      </w:r>
      <w:r w:rsidR="00947A8B">
        <w:t>ocuments, such as certificates, and keep these hard copies accessible.</w:t>
      </w:r>
      <w:bookmarkStart w:id="0" w:name="_GoBack"/>
      <w:bookmarkEnd w:id="0"/>
    </w:p>
    <w:p w:rsidR="00172300" w:rsidRPr="00BA495A" w:rsidRDefault="00172300" w:rsidP="00172300">
      <w:pPr>
        <w:numPr>
          <w:ilvl w:val="0"/>
          <w:numId w:val="1"/>
        </w:numPr>
        <w:spacing w:after="0"/>
      </w:pPr>
      <w:r>
        <w:t>Teachers should submit artifacts throughout the year, rather than all at once</w:t>
      </w:r>
      <w:r w:rsidRPr="00BA495A">
        <w:t xml:space="preserve">. </w:t>
      </w:r>
      <w:r>
        <w:t xml:space="preserve">  </w:t>
      </w:r>
    </w:p>
    <w:p w:rsidR="00172300" w:rsidRDefault="00172300" w:rsidP="00172300">
      <w:pPr>
        <w:numPr>
          <w:ilvl w:val="0"/>
          <w:numId w:val="1"/>
        </w:numPr>
        <w:spacing w:after="0"/>
      </w:pPr>
      <w:r>
        <w:t xml:space="preserve">At least eight artifacts </w:t>
      </w:r>
      <w:r w:rsidR="004456D7">
        <w:t>will</w:t>
      </w:r>
      <w:r>
        <w:t xml:space="preserve"> be needed to provide an informed evaluation.  </w:t>
      </w:r>
    </w:p>
    <w:p w:rsidR="004456D7" w:rsidRDefault="004456D7" w:rsidP="004456D7">
      <w:pPr>
        <w:numPr>
          <w:ilvl w:val="0"/>
          <w:numId w:val="1"/>
        </w:numPr>
        <w:spacing w:after="0"/>
      </w:pPr>
      <w:r>
        <w:t xml:space="preserve">Strong artifacts </w:t>
      </w:r>
      <w:r w:rsidR="00CA5928">
        <w:t>will also align well to the BPS Priority Areas</w:t>
      </w:r>
      <w:r w:rsidR="00947A8B">
        <w:t>:</w:t>
      </w:r>
      <w:r w:rsidR="00CA5928">
        <w:t xml:space="preserve"> </w:t>
      </w:r>
      <w:r>
        <w:t xml:space="preserve">MA Curriculum Frameworks Implementation, Data Use and Inquiry, and Differentiated Instruction.   </w:t>
      </w:r>
    </w:p>
    <w:p w:rsidR="00743FBE" w:rsidRPr="00BF276A" w:rsidRDefault="00743FBE" w:rsidP="00743FBE">
      <w:pPr>
        <w:spacing w:after="0"/>
        <w:rPr>
          <w:rFonts w:asciiTheme="majorHAnsi" w:hAnsiTheme="majorHAnsi"/>
          <w:b/>
        </w:rPr>
      </w:pPr>
    </w:p>
    <w:p w:rsidR="00743FBE" w:rsidRPr="00BF276A" w:rsidRDefault="00743FBE" w:rsidP="00743FBE">
      <w:pPr>
        <w:spacing w:after="0"/>
        <w:rPr>
          <w:rFonts w:asciiTheme="majorHAnsi" w:hAnsiTheme="majorHAnsi"/>
          <w:b/>
        </w:rPr>
      </w:pPr>
      <w:r w:rsidRPr="00BF276A">
        <w:rPr>
          <w:rFonts w:asciiTheme="majorHAnsi" w:hAnsiTheme="majorHAnsi"/>
          <w:b/>
        </w:rPr>
        <w:t>Examples</w:t>
      </w:r>
      <w:r w:rsidR="00BF276A" w:rsidRPr="00BF276A">
        <w:rPr>
          <w:rFonts w:asciiTheme="majorHAnsi" w:hAnsiTheme="majorHAnsi"/>
          <w:b/>
        </w:rPr>
        <w:br/>
      </w:r>
    </w:p>
    <w:p w:rsidR="00087DF1" w:rsidRPr="00087DF1" w:rsidRDefault="00087DF1" w:rsidP="00BA495A">
      <w:pPr>
        <w:spacing w:after="0"/>
        <w:rPr>
          <w:rFonts w:asciiTheme="minorHAnsi" w:hAnsiTheme="minorHAnsi" w:cstheme="minorHAnsi"/>
          <w:u w:val="single"/>
        </w:rPr>
      </w:pPr>
      <w:r w:rsidRPr="00087DF1">
        <w:rPr>
          <w:rFonts w:asciiTheme="minorHAnsi" w:hAnsiTheme="minorHAnsi" w:cstheme="minorHAnsi"/>
          <w:u w:val="single"/>
        </w:rPr>
        <w:t>Example #1</w:t>
      </w:r>
    </w:p>
    <w:p w:rsidR="00087DF1" w:rsidRDefault="00087DF1" w:rsidP="00BA495A">
      <w:pPr>
        <w:spacing w:after="0"/>
        <w:rPr>
          <w:rFonts w:asciiTheme="minorHAnsi" w:hAnsiTheme="minorHAnsi" w:cstheme="minorHAnsi"/>
        </w:rPr>
      </w:pPr>
    </w:p>
    <w:p w:rsidR="00E13676" w:rsidRDefault="009A7B5A" w:rsidP="009A7B5A">
      <w:pPr>
        <w:spacing w:after="0"/>
        <w:rPr>
          <w:rFonts w:asciiTheme="minorHAnsi" w:hAnsiTheme="minorHAnsi" w:cstheme="minorHAnsi"/>
        </w:rPr>
      </w:pPr>
      <w:r w:rsidRPr="009A7B5A">
        <w:rPr>
          <w:rFonts w:asciiTheme="minorHAnsi" w:hAnsiTheme="minorHAnsi" w:cstheme="minorHAnsi"/>
          <w:i/>
        </w:rPr>
        <w:lastRenderedPageBreak/>
        <w:t>Artifact</w:t>
      </w:r>
      <w:r w:rsidR="00087DF1" w:rsidRPr="009A7B5A">
        <w:rPr>
          <w:rFonts w:asciiTheme="minorHAnsi" w:hAnsiTheme="minorHAnsi" w:cstheme="minorHAnsi"/>
          <w:i/>
        </w:rPr>
        <w:t>:</w:t>
      </w:r>
      <w:r w:rsidR="001A4CDA">
        <w:rPr>
          <w:rFonts w:asciiTheme="minorHAnsi" w:hAnsiTheme="minorHAnsi" w:cstheme="minorHAnsi"/>
        </w:rPr>
        <w:t xml:space="preserve">  A</w:t>
      </w:r>
      <w:r w:rsidR="00087DF1">
        <w:rPr>
          <w:rFonts w:asciiTheme="minorHAnsi" w:hAnsiTheme="minorHAnsi" w:cstheme="minorHAnsi"/>
        </w:rPr>
        <w:t>n original</w:t>
      </w:r>
      <w:r w:rsidR="001A4CDA">
        <w:rPr>
          <w:rFonts w:asciiTheme="minorHAnsi" w:hAnsiTheme="minorHAnsi" w:cstheme="minorHAnsi"/>
        </w:rPr>
        <w:t xml:space="preserve"> lesson plan that reveals limited student use of higher orde</w:t>
      </w:r>
      <w:r>
        <w:rPr>
          <w:rFonts w:asciiTheme="minorHAnsi" w:hAnsiTheme="minorHAnsi" w:cstheme="minorHAnsi"/>
        </w:rPr>
        <w:t>r thinking skills, accompanied by a</w:t>
      </w:r>
      <w:r w:rsidR="001A4CDA">
        <w:rPr>
          <w:rFonts w:asciiTheme="minorHAnsi" w:hAnsiTheme="minorHAnsi" w:cstheme="minorHAnsi"/>
        </w:rPr>
        <w:t xml:space="preserve"> modified lesson plan that incorporates stronger use of higher order thinking skills aligne</w:t>
      </w:r>
      <w:r w:rsidR="00087DF1">
        <w:rPr>
          <w:rFonts w:asciiTheme="minorHAnsi" w:hAnsiTheme="minorHAnsi" w:cstheme="minorHAnsi"/>
        </w:rPr>
        <w:t>d to the MA Curriculum Framework</w:t>
      </w:r>
      <w:r w:rsidR="001A4CDA">
        <w:rPr>
          <w:rFonts w:asciiTheme="minorHAnsi" w:hAnsiTheme="minorHAnsi" w:cstheme="minorHAnsi"/>
        </w:rPr>
        <w:t xml:space="preserve"> (aligned to</w:t>
      </w:r>
      <w:r w:rsidR="00076800">
        <w:rPr>
          <w:rFonts w:asciiTheme="minorHAnsi" w:hAnsiTheme="minorHAnsi" w:cstheme="minorHAnsi"/>
        </w:rPr>
        <w:t xml:space="preserve"> proficient language in</w:t>
      </w:r>
      <w:r w:rsidR="001A4CDA">
        <w:rPr>
          <w:rFonts w:asciiTheme="minorHAnsi" w:hAnsiTheme="minorHAnsi" w:cstheme="minorHAnsi"/>
        </w:rPr>
        <w:t xml:space="preserve"> 1-A-3 on the Effective Teaching Rubric).  </w:t>
      </w:r>
    </w:p>
    <w:p w:rsidR="00087DF1" w:rsidRDefault="00087DF1" w:rsidP="00BA495A">
      <w:pPr>
        <w:spacing w:after="0"/>
        <w:rPr>
          <w:rFonts w:asciiTheme="minorHAnsi" w:hAnsiTheme="minorHAnsi" w:cstheme="minorHAnsi"/>
        </w:rPr>
      </w:pPr>
    </w:p>
    <w:p w:rsidR="00087DF1" w:rsidRPr="00087DF1" w:rsidRDefault="009A7B5A" w:rsidP="00BA495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E</w:t>
      </w:r>
      <w:r w:rsidRPr="009A7B5A">
        <w:rPr>
          <w:rFonts w:asciiTheme="minorHAnsi" w:hAnsiTheme="minorHAnsi" w:cstheme="minorHAnsi"/>
          <w:i/>
        </w:rPr>
        <w:t>vidence</w:t>
      </w:r>
      <w:r>
        <w:rPr>
          <w:rFonts w:asciiTheme="minorHAnsi" w:hAnsiTheme="minorHAnsi" w:cstheme="minorHAnsi"/>
          <w:i/>
        </w:rPr>
        <w:t xml:space="preserve"> this artifact provide</w:t>
      </w:r>
      <w:r w:rsidRPr="009A7B5A">
        <w:rPr>
          <w:rFonts w:asciiTheme="minorHAnsi" w:hAnsiTheme="minorHAnsi" w:cstheme="minorHAnsi"/>
          <w:i/>
        </w:rPr>
        <w:t>s</w:t>
      </w:r>
      <w:r w:rsidR="00087DF1">
        <w:rPr>
          <w:rFonts w:asciiTheme="minorHAnsi" w:hAnsiTheme="minorHAnsi" w:cstheme="minorHAnsi"/>
        </w:rPr>
        <w:t xml:space="preserve">:  This shows how the educator made adjustments to her original lesson plan to improve student learning outcomes, based on proficiency language on a specific Standard, Element, and Indicator on the Effective Teaching Rubric.  The evaluator will likely assess how meaningful the modifications will be in supporting higher order thinking in the classroom.  </w:t>
      </w:r>
    </w:p>
    <w:p w:rsidR="00BA495A" w:rsidRDefault="00BA495A" w:rsidP="00743FBE">
      <w:pPr>
        <w:spacing w:after="0"/>
      </w:pPr>
    </w:p>
    <w:p w:rsidR="00087DF1" w:rsidRPr="00087DF1" w:rsidRDefault="00087DF1" w:rsidP="00743FBE">
      <w:pPr>
        <w:spacing w:after="0"/>
        <w:rPr>
          <w:u w:val="single"/>
        </w:rPr>
      </w:pPr>
      <w:r w:rsidRPr="00087DF1">
        <w:rPr>
          <w:u w:val="single"/>
        </w:rPr>
        <w:t>Example #2</w:t>
      </w:r>
      <w:r w:rsidR="001A4CDA" w:rsidRPr="00087DF1">
        <w:rPr>
          <w:u w:val="single"/>
        </w:rPr>
        <w:t xml:space="preserve">  </w:t>
      </w:r>
    </w:p>
    <w:p w:rsidR="00087DF1" w:rsidRDefault="00087DF1" w:rsidP="00743FBE">
      <w:pPr>
        <w:spacing w:after="0"/>
      </w:pPr>
    </w:p>
    <w:p w:rsidR="00087DF1" w:rsidRDefault="009A7B5A" w:rsidP="00743FBE">
      <w:pPr>
        <w:spacing w:after="0"/>
      </w:pPr>
      <w:r w:rsidRPr="009A7B5A">
        <w:rPr>
          <w:i/>
        </w:rPr>
        <w:t>Artifact</w:t>
      </w:r>
      <w:r w:rsidR="00087DF1" w:rsidRPr="009A7B5A">
        <w:rPr>
          <w:i/>
        </w:rPr>
        <w:t>:</w:t>
      </w:r>
      <w:r w:rsidR="00087DF1">
        <w:t xml:space="preserve">  </w:t>
      </w:r>
      <w:r w:rsidR="00076800">
        <w:t xml:space="preserve">Resources from a PD workshop </w:t>
      </w:r>
      <w:r w:rsidR="00076800">
        <w:rPr>
          <w:b/>
        </w:rPr>
        <w:t>along with</w:t>
      </w:r>
      <w:r w:rsidR="00076800">
        <w:t xml:space="preserve"> a unit plan that incorporates multiple activities and instructional strategies from those resources (aligned to</w:t>
      </w:r>
      <w:r w:rsidR="00087DF1">
        <w:t xml:space="preserve"> proficient language in</w:t>
      </w:r>
      <w:r w:rsidR="00076800">
        <w:t xml:space="preserve"> IV-B-1 on </w:t>
      </w:r>
      <w:r w:rsidR="00087DF1">
        <w:t xml:space="preserve">the Effective </w:t>
      </w:r>
      <w:proofErr w:type="gramStart"/>
      <w:r w:rsidR="00087DF1">
        <w:t>Teaching  Rubric</w:t>
      </w:r>
      <w:proofErr w:type="gramEnd"/>
      <w:r w:rsidR="00087DF1">
        <w:t xml:space="preserve">).  </w:t>
      </w:r>
    </w:p>
    <w:p w:rsidR="00087DF1" w:rsidRDefault="00087DF1" w:rsidP="00743FBE">
      <w:pPr>
        <w:spacing w:after="0"/>
      </w:pPr>
    </w:p>
    <w:p w:rsidR="004F1D24" w:rsidRPr="004456D7" w:rsidRDefault="00087DF1" w:rsidP="00743FBE">
      <w:pPr>
        <w:spacing w:after="0"/>
        <w:rPr>
          <w:b/>
        </w:rPr>
      </w:pPr>
      <w:r w:rsidRPr="009A7B5A">
        <w:rPr>
          <w:i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0B50F3" wp14:editId="062D2D02">
                <wp:simplePos x="0" y="0"/>
                <wp:positionH relativeFrom="column">
                  <wp:posOffset>369570</wp:posOffset>
                </wp:positionH>
                <wp:positionV relativeFrom="paragraph">
                  <wp:posOffset>1391285</wp:posOffset>
                </wp:positionV>
                <wp:extent cx="5095875" cy="542925"/>
                <wp:effectExtent l="38100" t="38100" r="123825" b="1238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568603642"/>
                              <w:placeholder>
                                <w:docPart w:val="996D2D4B4D3C40ACB4C5D1ADE75A437B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BF276A" w:rsidRPr="00FB2169" w:rsidRDefault="00BF276A" w:rsidP="00FB216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BF276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Find more resources </w:t>
                                </w:r>
                                <w:hyperlink r:id="rId10" w:history="1">
                                  <w:r w:rsidRPr="00BF276A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u w:val="non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here</w:t>
                                  </w:r>
                                </w:hyperlink>
                                <w:r w:rsidRPr="00BF276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at the Supporting Effective Teaching</w:t>
                                </w:r>
                                <w:r w:rsidR="00FB2169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="00FB2169" w:rsidRPr="00BF276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W</w:t>
                                </w:r>
                                <w:r w:rsidRPr="00BF276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ebsite</w:t>
                                </w:r>
                                <w:r w:rsidR="00FB2169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br/>
                                </w:r>
                                <w:r w:rsidR="00FB2169" w:rsidRPr="00FB2169"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  <w:t>https://connect.mybps.org/groups/effectiveteaching/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1pt;margin-top:109.55pt;width:401.25pt;height:4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">
                <v:shadow on="t" color="black" opacity="26214f" origin="-.5,-.5" offset=".74836mm,.74836mm"/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</w:rPr>
                        <w:id w:val="568603642"/>
                        <w:placeholder>
                          <w:docPart w:val="996D2D4B4D3C40ACB4C5D1ADE75A437B"/>
                        </w:placeholder>
                        <w:temporary/>
                        <w:showingPlcHdr/>
                      </w:sdtPr>
                      <w:sdtEndPr/>
                      <w:sdtContent>
                        <w:p w:rsidR="00BF276A" w:rsidRPr="00FB2169" w:rsidRDefault="00BF276A" w:rsidP="00FB2169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BF276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Find more resources </w:t>
                          </w:r>
                          <w:hyperlink r:id="rId11" w:history="1">
                            <w:r w:rsidRPr="00BF276A">
                              <w:rPr>
                                <w:rStyle w:val="Hyperlink"/>
                                <w:rFonts w:asciiTheme="minorHAnsi" w:hAnsiTheme="minorHAnsi" w:cstheme="minorHAnsi"/>
                                <w:sz w:val="24"/>
                                <w:szCs w:val="24"/>
                                <w:u w:val="non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here</w:t>
                            </w:r>
                          </w:hyperlink>
                          <w:r w:rsidRPr="00BF276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at the Supporting Effective Teaching</w:t>
                          </w:r>
                          <w:r w:rsidR="00FB2169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FB2169" w:rsidRPr="00BF276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</w:t>
                          </w:r>
                          <w:r w:rsidRPr="00BF276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ebsite</w:t>
                          </w:r>
                          <w:r w:rsidR="00FB2169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FB2169" w:rsidRPr="00FB2169">
                            <w:rPr>
                              <w:rFonts w:asciiTheme="minorHAnsi" w:hAnsiTheme="minorHAnsi" w:cstheme="minorHAnsi"/>
                              <w:b/>
                            </w:rPr>
                            <w:t>https://connect.mybps.org/groups/effectiveteaching/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A7B5A" w:rsidRPr="009A7B5A">
        <w:rPr>
          <w:i/>
        </w:rPr>
        <w:t>Evidence this artifact provide</w:t>
      </w:r>
      <w:r w:rsidRPr="009A7B5A">
        <w:rPr>
          <w:i/>
        </w:rPr>
        <w:t>s</w:t>
      </w:r>
      <w:r>
        <w:t xml:space="preserve">:  This shows how the educator took advantage of a Professional Development opportunity that had direct impact on her instruction.  Though it’s up to the evaluator to determine whether or not the incorporation of these activities/strategies will be effective, the educator has an opportunity to write a thoughtful rationale to support her artifact.  </w:t>
      </w:r>
      <w:r w:rsidR="004F1D24" w:rsidRPr="00BF276A">
        <w:rPr>
          <w:b/>
        </w:rPr>
        <w:br w:type="page"/>
      </w:r>
    </w:p>
    <w:p w:rsidR="00960CC0" w:rsidRDefault="00960CC0" w:rsidP="00743FBE">
      <w:pPr>
        <w:spacing w:after="0"/>
        <w:rPr>
          <w:rFonts w:asciiTheme="majorHAnsi" w:hAnsiTheme="majorHAnsi"/>
          <w:b/>
        </w:rPr>
        <w:sectPr w:rsidR="00960CC0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3FBE" w:rsidRPr="00BF276A" w:rsidRDefault="00FB2169" w:rsidP="003F731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Introductory</w:t>
      </w:r>
      <w:r w:rsidR="004F1D24" w:rsidRPr="00BF276A">
        <w:rPr>
          <w:rFonts w:asciiTheme="majorHAnsi" w:hAnsiTheme="majorHAnsi"/>
          <w:b/>
        </w:rPr>
        <w:t xml:space="preserve"> </w:t>
      </w:r>
      <w:r w:rsidR="00E13676" w:rsidRPr="00BF276A">
        <w:rPr>
          <w:rFonts w:asciiTheme="majorHAnsi" w:hAnsiTheme="majorHAnsi"/>
          <w:b/>
        </w:rPr>
        <w:t>Activity</w:t>
      </w:r>
      <w:r w:rsidR="00D91440">
        <w:rPr>
          <w:rFonts w:asciiTheme="majorHAnsi" w:hAnsiTheme="majorHAnsi"/>
          <w:b/>
        </w:rPr>
        <w:t xml:space="preserve"> </w:t>
      </w:r>
    </w:p>
    <w:p w:rsidR="00625693" w:rsidRPr="003F7315" w:rsidRDefault="00625693" w:rsidP="003F7315">
      <w:pPr>
        <w:spacing w:after="0" w:line="240" w:lineRule="auto"/>
        <w:rPr>
          <w:b/>
          <w:sz w:val="8"/>
          <w:szCs w:val="8"/>
        </w:rPr>
      </w:pPr>
    </w:p>
    <w:p w:rsidR="00076800" w:rsidRPr="003F7315" w:rsidRDefault="00076800" w:rsidP="003F7315">
      <w:pPr>
        <w:spacing w:after="0" w:line="240" w:lineRule="auto"/>
      </w:pPr>
      <w:r w:rsidRPr="003F7315">
        <w:t>As a proficiently-rated teacher on a self-directed grow</w:t>
      </w:r>
      <w:r w:rsidR="006413B2" w:rsidRPr="003F7315">
        <w:t xml:space="preserve">th plan, you have the following </w:t>
      </w:r>
      <w:r w:rsidRPr="003F7315">
        <w:t>evaluator-approved goals:</w:t>
      </w:r>
    </w:p>
    <w:p w:rsidR="00076800" w:rsidRDefault="00076800" w:rsidP="003F7315">
      <w:pPr>
        <w:spacing w:after="0" w:line="240" w:lineRule="auto"/>
        <w:rPr>
          <w:sz w:val="8"/>
          <w:szCs w:val="8"/>
        </w:rPr>
      </w:pPr>
    </w:p>
    <w:p w:rsidR="003F7315" w:rsidRPr="003F7315" w:rsidRDefault="003F7315" w:rsidP="003F7315">
      <w:pPr>
        <w:spacing w:after="0" w:line="240" w:lineRule="auto"/>
        <w:rPr>
          <w:sz w:val="8"/>
          <w:szCs w:val="8"/>
        </w:rPr>
      </w:pPr>
    </w:p>
    <w:p w:rsidR="00076800" w:rsidRPr="003F7315" w:rsidRDefault="00076800" w:rsidP="003F7315">
      <w:pPr>
        <w:spacing w:after="0" w:line="240" w:lineRule="auto"/>
        <w:ind w:left="720"/>
      </w:pPr>
      <w:r w:rsidRPr="003F7315">
        <w:t xml:space="preserve">Student Learning – </w:t>
      </w:r>
      <w:r w:rsidR="00960CC0" w:rsidRPr="003F7315">
        <w:t>Based on the fact that less than 5% of students in SEI K2 currently recognize more than 20% of the taught Reading Street high-frequency words on the pre-assessment, my goal is that 85% of students will be able to recognize 85% of these words on the same assessment by June 1.</w:t>
      </w:r>
    </w:p>
    <w:p w:rsidR="00076800" w:rsidRDefault="00076800" w:rsidP="003F7315">
      <w:pPr>
        <w:spacing w:after="0" w:line="240" w:lineRule="auto"/>
        <w:ind w:left="720"/>
        <w:rPr>
          <w:sz w:val="8"/>
          <w:szCs w:val="8"/>
        </w:rPr>
      </w:pPr>
    </w:p>
    <w:p w:rsidR="003F7315" w:rsidRPr="003F7315" w:rsidRDefault="003F7315" w:rsidP="003F7315">
      <w:pPr>
        <w:spacing w:after="0" w:line="240" w:lineRule="auto"/>
        <w:ind w:left="720"/>
        <w:rPr>
          <w:sz w:val="8"/>
          <w:szCs w:val="8"/>
        </w:rPr>
      </w:pPr>
    </w:p>
    <w:p w:rsidR="00960CC0" w:rsidRPr="003F7315" w:rsidRDefault="00076800" w:rsidP="003F7315">
      <w:pPr>
        <w:spacing w:after="0" w:line="240" w:lineRule="auto"/>
        <w:ind w:left="720"/>
      </w:pPr>
      <w:r w:rsidRPr="003F7315">
        <w:t xml:space="preserve">Professional Practice – </w:t>
      </w:r>
      <w:r w:rsidR="00960CC0" w:rsidRPr="003F7315">
        <w:t xml:space="preserve">In order to </w:t>
      </w:r>
      <w:r w:rsidR="00D91440" w:rsidRPr="003F7315">
        <w:t xml:space="preserve">increase vocab recognition skills in my K2 ELL students, I will use culturally proficient teaching materials, as measured by the images and languages I use in written instruction.  I will measure my progress by reviewing all written material I will use at the beginning of each unit.  </w:t>
      </w:r>
    </w:p>
    <w:p w:rsidR="003F7315" w:rsidRDefault="003F7315" w:rsidP="003F7315">
      <w:pPr>
        <w:spacing w:after="0" w:line="240" w:lineRule="auto"/>
        <w:rPr>
          <w:sz w:val="8"/>
          <w:szCs w:val="8"/>
        </w:rPr>
      </w:pPr>
    </w:p>
    <w:p w:rsidR="003F7315" w:rsidRPr="003F7315" w:rsidRDefault="003F7315" w:rsidP="003F7315">
      <w:pPr>
        <w:spacing w:after="0" w:line="240" w:lineRule="auto"/>
        <w:rPr>
          <w:sz w:val="8"/>
          <w:szCs w:val="8"/>
        </w:rPr>
      </w:pPr>
    </w:p>
    <w:p w:rsidR="003F7315" w:rsidRPr="003F7315" w:rsidRDefault="003F7315" w:rsidP="003F7315">
      <w:pPr>
        <w:spacing w:after="0" w:line="240" w:lineRule="auto"/>
      </w:pPr>
      <w:r w:rsidRPr="003F7315">
        <w:t>Use the chart to brainstorm what types of artifacts you could submit to show your proficiency in each standard or progress toward your goals.</w:t>
      </w:r>
    </w:p>
    <w:p w:rsidR="00076800" w:rsidRPr="003F7315" w:rsidRDefault="00076800" w:rsidP="00076800">
      <w:pPr>
        <w:spacing w:after="0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6"/>
        <w:gridCol w:w="3932"/>
        <w:gridCol w:w="6984"/>
      </w:tblGrid>
      <w:tr w:rsidR="007D4403" w:rsidTr="007D4403">
        <w:tc>
          <w:tcPr>
            <w:tcW w:w="2836" w:type="dxa"/>
            <w:shd w:val="clear" w:color="auto" w:fill="B8CCE4" w:themeFill="accent1" w:themeFillTint="66"/>
          </w:tcPr>
          <w:p w:rsidR="007D4403" w:rsidRPr="00960CC0" w:rsidRDefault="007D4403" w:rsidP="003F73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2" w:type="dxa"/>
            <w:shd w:val="clear" w:color="auto" w:fill="B8CCE4" w:themeFill="accent1" w:themeFillTint="66"/>
          </w:tcPr>
          <w:p w:rsidR="007D4403" w:rsidRDefault="007D4403" w:rsidP="003F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0CC0">
              <w:rPr>
                <w:sz w:val="20"/>
                <w:szCs w:val="20"/>
              </w:rPr>
              <w:t xml:space="preserve">What Artifact would </w:t>
            </w:r>
            <w:r>
              <w:rPr>
                <w:sz w:val="20"/>
                <w:szCs w:val="20"/>
              </w:rPr>
              <w:t>you submit</w:t>
            </w:r>
            <w:r w:rsidRPr="00960CC0">
              <w:rPr>
                <w:sz w:val="20"/>
                <w:szCs w:val="20"/>
              </w:rPr>
              <w:t>?</w:t>
            </w:r>
          </w:p>
          <w:p w:rsidR="007D4403" w:rsidRPr="00960CC0" w:rsidRDefault="007D4403" w:rsidP="003F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page 1 for possibilities)</w:t>
            </w:r>
          </w:p>
        </w:tc>
        <w:tc>
          <w:tcPr>
            <w:tcW w:w="6984" w:type="dxa"/>
            <w:shd w:val="clear" w:color="auto" w:fill="B8CCE4" w:themeFill="accent1" w:themeFillTint="66"/>
          </w:tcPr>
          <w:p w:rsidR="007D4403" w:rsidRDefault="007D4403" w:rsidP="003F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rationale for how this artifact</w:t>
            </w:r>
          </w:p>
          <w:p w:rsidR="007D4403" w:rsidRPr="00960CC0" w:rsidRDefault="003F7315" w:rsidP="003F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would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D4403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 xml:space="preserve"> proficiency/p</w:t>
            </w:r>
            <w:r w:rsidR="007D4403" w:rsidRPr="00960CC0">
              <w:rPr>
                <w:sz w:val="20"/>
                <w:szCs w:val="20"/>
              </w:rPr>
              <w:t>rogress</w:t>
            </w:r>
            <w:r w:rsidR="007D4403">
              <w:rPr>
                <w:sz w:val="20"/>
                <w:szCs w:val="20"/>
              </w:rPr>
              <w:t>?</w:t>
            </w:r>
          </w:p>
        </w:tc>
      </w:tr>
      <w:tr w:rsidR="007D4403" w:rsidTr="003F7315">
        <w:trPr>
          <w:trHeight w:val="809"/>
        </w:trPr>
        <w:tc>
          <w:tcPr>
            <w:tcW w:w="2836" w:type="dxa"/>
            <w:vAlign w:val="center"/>
          </w:tcPr>
          <w:p w:rsidR="007D4403" w:rsidRPr="00960CC0" w:rsidRDefault="007D4403" w:rsidP="003F73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Learning </w:t>
            </w:r>
            <w:r w:rsidRPr="00960CC0">
              <w:rPr>
                <w:sz w:val="20"/>
                <w:szCs w:val="20"/>
              </w:rPr>
              <w:t>Goal</w:t>
            </w:r>
          </w:p>
        </w:tc>
        <w:tc>
          <w:tcPr>
            <w:tcW w:w="3932" w:type="dxa"/>
          </w:tcPr>
          <w:p w:rsidR="007D4403" w:rsidRDefault="007D4403" w:rsidP="003F7315">
            <w:pPr>
              <w:spacing w:after="0" w:line="240" w:lineRule="auto"/>
              <w:rPr>
                <w:sz w:val="10"/>
                <w:szCs w:val="10"/>
              </w:rPr>
            </w:pPr>
          </w:p>
          <w:p w:rsidR="007D4403" w:rsidRDefault="007D4403" w:rsidP="003F7315">
            <w:pPr>
              <w:spacing w:after="0" w:line="240" w:lineRule="auto"/>
              <w:rPr>
                <w:sz w:val="10"/>
                <w:szCs w:val="10"/>
              </w:rPr>
            </w:pPr>
          </w:p>
          <w:p w:rsidR="007D4403" w:rsidRPr="00AB3CF8" w:rsidRDefault="007D4403" w:rsidP="003F73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Performance Data</w:t>
            </w:r>
          </w:p>
          <w:p w:rsidR="007D4403" w:rsidRDefault="007D4403" w:rsidP="003F7315">
            <w:pPr>
              <w:spacing w:after="0" w:line="240" w:lineRule="auto"/>
              <w:rPr>
                <w:sz w:val="10"/>
                <w:szCs w:val="10"/>
              </w:rPr>
            </w:pPr>
          </w:p>
          <w:p w:rsidR="007D4403" w:rsidRPr="00D91440" w:rsidRDefault="007D4403" w:rsidP="003F731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984" w:type="dxa"/>
            <w:vAlign w:val="center"/>
          </w:tcPr>
          <w:p w:rsidR="007D4403" w:rsidRPr="00960CC0" w:rsidRDefault="0042377B" w:rsidP="003F73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Growth in student performance on the same assessment would give clear indications of how effectively I taught my students vocab recognition based on RS.   </w:t>
            </w:r>
          </w:p>
        </w:tc>
      </w:tr>
      <w:tr w:rsidR="007D4403" w:rsidTr="003F7315">
        <w:trPr>
          <w:trHeight w:val="1034"/>
        </w:trPr>
        <w:tc>
          <w:tcPr>
            <w:tcW w:w="2836" w:type="dxa"/>
            <w:vAlign w:val="center"/>
          </w:tcPr>
          <w:p w:rsidR="007D4403" w:rsidRPr="00960CC0" w:rsidRDefault="007D4403" w:rsidP="007D44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Practice</w:t>
            </w:r>
            <w:r w:rsidRPr="00960CC0">
              <w:rPr>
                <w:sz w:val="20"/>
                <w:szCs w:val="20"/>
              </w:rPr>
              <w:t xml:space="preserve"> Goal</w:t>
            </w:r>
          </w:p>
        </w:tc>
        <w:tc>
          <w:tcPr>
            <w:tcW w:w="3932" w:type="dxa"/>
          </w:tcPr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42377B" w:rsidRDefault="0042377B" w:rsidP="00076800">
            <w:pPr>
              <w:spacing w:after="0"/>
              <w:rPr>
                <w:sz w:val="10"/>
                <w:szCs w:val="10"/>
              </w:rPr>
            </w:pPr>
          </w:p>
          <w:p w:rsidR="007D4403" w:rsidRPr="00D91440" w:rsidRDefault="007D4403" w:rsidP="0007680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6984" w:type="dxa"/>
          </w:tcPr>
          <w:p w:rsidR="007D4403" w:rsidRPr="00960CC0" w:rsidRDefault="007D4403" w:rsidP="00076800">
            <w:pPr>
              <w:spacing w:after="0"/>
              <w:rPr>
                <w:sz w:val="20"/>
                <w:szCs w:val="20"/>
              </w:rPr>
            </w:pPr>
          </w:p>
          <w:p w:rsidR="007D4403" w:rsidRPr="00960CC0" w:rsidRDefault="007D4403" w:rsidP="00076800">
            <w:pPr>
              <w:spacing w:after="0"/>
              <w:rPr>
                <w:sz w:val="20"/>
                <w:szCs w:val="20"/>
              </w:rPr>
            </w:pPr>
          </w:p>
          <w:p w:rsidR="007D4403" w:rsidRPr="00960CC0" w:rsidRDefault="007D4403" w:rsidP="00076800">
            <w:pPr>
              <w:spacing w:after="0"/>
              <w:rPr>
                <w:sz w:val="20"/>
                <w:szCs w:val="20"/>
              </w:rPr>
            </w:pPr>
          </w:p>
        </w:tc>
      </w:tr>
      <w:tr w:rsidR="007D4403" w:rsidTr="007D4403">
        <w:tc>
          <w:tcPr>
            <w:tcW w:w="2836" w:type="dxa"/>
            <w:vAlign w:val="center"/>
          </w:tcPr>
          <w:p w:rsidR="007D4403" w:rsidRPr="00960CC0" w:rsidRDefault="007D4403" w:rsidP="007D4403">
            <w:pPr>
              <w:spacing w:after="0"/>
              <w:rPr>
                <w:sz w:val="20"/>
                <w:szCs w:val="20"/>
              </w:rPr>
            </w:pPr>
            <w:r w:rsidRPr="00960CC0">
              <w:rPr>
                <w:sz w:val="20"/>
                <w:szCs w:val="20"/>
              </w:rPr>
              <w:t>Standard 1 – Curriculum, Planning, and Assessment</w:t>
            </w:r>
          </w:p>
        </w:tc>
        <w:tc>
          <w:tcPr>
            <w:tcW w:w="3932" w:type="dxa"/>
          </w:tcPr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42377B" w:rsidRDefault="0042377B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Pr="00D91440" w:rsidRDefault="007D4403" w:rsidP="0007680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6984" w:type="dxa"/>
          </w:tcPr>
          <w:p w:rsidR="007D4403" w:rsidRDefault="007D4403" w:rsidP="00076800">
            <w:pPr>
              <w:spacing w:after="0"/>
              <w:rPr>
                <w:sz w:val="20"/>
                <w:szCs w:val="20"/>
              </w:rPr>
            </w:pPr>
          </w:p>
          <w:p w:rsidR="007D4403" w:rsidRPr="00960CC0" w:rsidRDefault="007D4403" w:rsidP="00076800">
            <w:pPr>
              <w:spacing w:after="0"/>
              <w:rPr>
                <w:sz w:val="20"/>
                <w:szCs w:val="20"/>
              </w:rPr>
            </w:pPr>
          </w:p>
          <w:p w:rsidR="007D4403" w:rsidRPr="00960CC0" w:rsidRDefault="007D4403" w:rsidP="00076800">
            <w:pPr>
              <w:spacing w:after="0"/>
              <w:rPr>
                <w:sz w:val="20"/>
                <w:szCs w:val="20"/>
              </w:rPr>
            </w:pPr>
          </w:p>
        </w:tc>
      </w:tr>
      <w:tr w:rsidR="007D4403" w:rsidTr="007D4403">
        <w:tc>
          <w:tcPr>
            <w:tcW w:w="2836" w:type="dxa"/>
            <w:vAlign w:val="center"/>
          </w:tcPr>
          <w:p w:rsidR="007D4403" w:rsidRPr="00960CC0" w:rsidRDefault="007D4403" w:rsidP="007D4403">
            <w:pPr>
              <w:spacing w:after="0"/>
              <w:rPr>
                <w:sz w:val="20"/>
                <w:szCs w:val="20"/>
              </w:rPr>
            </w:pPr>
            <w:r w:rsidRPr="00960CC0">
              <w:rPr>
                <w:sz w:val="20"/>
                <w:szCs w:val="20"/>
              </w:rPr>
              <w:t>Standard 2 – Teaching All Students</w:t>
            </w:r>
          </w:p>
        </w:tc>
        <w:tc>
          <w:tcPr>
            <w:tcW w:w="3932" w:type="dxa"/>
          </w:tcPr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3F7315" w:rsidRDefault="003F7315" w:rsidP="00076800">
            <w:pPr>
              <w:spacing w:after="0"/>
              <w:rPr>
                <w:sz w:val="10"/>
                <w:szCs w:val="10"/>
              </w:rPr>
            </w:pPr>
          </w:p>
          <w:p w:rsidR="0042377B" w:rsidRPr="00D91440" w:rsidRDefault="0042377B" w:rsidP="0007680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6984" w:type="dxa"/>
          </w:tcPr>
          <w:p w:rsidR="007D4403" w:rsidRPr="00960CC0" w:rsidRDefault="007D4403" w:rsidP="00076800">
            <w:pPr>
              <w:spacing w:after="0"/>
              <w:rPr>
                <w:sz w:val="20"/>
                <w:szCs w:val="20"/>
              </w:rPr>
            </w:pPr>
          </w:p>
          <w:p w:rsidR="007D4403" w:rsidRPr="00960CC0" w:rsidRDefault="007D4403" w:rsidP="00076800">
            <w:pPr>
              <w:spacing w:after="0"/>
              <w:rPr>
                <w:sz w:val="20"/>
                <w:szCs w:val="20"/>
              </w:rPr>
            </w:pPr>
          </w:p>
          <w:p w:rsidR="007D4403" w:rsidRPr="00960CC0" w:rsidRDefault="007D4403" w:rsidP="00076800">
            <w:pPr>
              <w:spacing w:after="0"/>
              <w:rPr>
                <w:sz w:val="20"/>
                <w:szCs w:val="20"/>
              </w:rPr>
            </w:pPr>
          </w:p>
        </w:tc>
      </w:tr>
      <w:tr w:rsidR="007D4403" w:rsidTr="007D4403">
        <w:tc>
          <w:tcPr>
            <w:tcW w:w="2836" w:type="dxa"/>
            <w:vAlign w:val="center"/>
          </w:tcPr>
          <w:p w:rsidR="007D4403" w:rsidRPr="00960CC0" w:rsidRDefault="007D4403" w:rsidP="007D4403">
            <w:pPr>
              <w:spacing w:after="0"/>
              <w:rPr>
                <w:sz w:val="20"/>
                <w:szCs w:val="20"/>
              </w:rPr>
            </w:pPr>
            <w:r w:rsidRPr="00960CC0">
              <w:rPr>
                <w:sz w:val="20"/>
                <w:szCs w:val="20"/>
              </w:rPr>
              <w:t>Standard 3 – Family and Community Engagement</w:t>
            </w:r>
          </w:p>
        </w:tc>
        <w:tc>
          <w:tcPr>
            <w:tcW w:w="3932" w:type="dxa"/>
          </w:tcPr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42377B" w:rsidRDefault="0042377B" w:rsidP="00076800">
            <w:pPr>
              <w:spacing w:after="0"/>
              <w:rPr>
                <w:sz w:val="10"/>
                <w:szCs w:val="10"/>
              </w:rPr>
            </w:pPr>
          </w:p>
          <w:p w:rsidR="007D4403" w:rsidRPr="00D91440" w:rsidRDefault="007D4403" w:rsidP="0007680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6984" w:type="dxa"/>
          </w:tcPr>
          <w:p w:rsidR="007D4403" w:rsidRPr="00960CC0" w:rsidRDefault="007D4403" w:rsidP="00076800">
            <w:pPr>
              <w:spacing w:after="0"/>
              <w:rPr>
                <w:sz w:val="20"/>
                <w:szCs w:val="20"/>
              </w:rPr>
            </w:pPr>
          </w:p>
          <w:p w:rsidR="007D4403" w:rsidRPr="00960CC0" w:rsidRDefault="007D4403" w:rsidP="00076800">
            <w:pPr>
              <w:spacing w:after="0"/>
              <w:rPr>
                <w:sz w:val="20"/>
                <w:szCs w:val="20"/>
              </w:rPr>
            </w:pPr>
          </w:p>
          <w:p w:rsidR="007D4403" w:rsidRPr="00960CC0" w:rsidRDefault="007D4403" w:rsidP="00076800">
            <w:pPr>
              <w:spacing w:after="0"/>
              <w:rPr>
                <w:sz w:val="20"/>
                <w:szCs w:val="20"/>
              </w:rPr>
            </w:pPr>
          </w:p>
        </w:tc>
      </w:tr>
      <w:tr w:rsidR="007D4403" w:rsidTr="007D4403">
        <w:tc>
          <w:tcPr>
            <w:tcW w:w="2836" w:type="dxa"/>
            <w:vAlign w:val="center"/>
          </w:tcPr>
          <w:p w:rsidR="007D4403" w:rsidRPr="00960CC0" w:rsidRDefault="007D4403" w:rsidP="007D4403">
            <w:pPr>
              <w:spacing w:after="0"/>
              <w:rPr>
                <w:sz w:val="20"/>
                <w:szCs w:val="20"/>
              </w:rPr>
            </w:pPr>
            <w:r w:rsidRPr="00960CC0">
              <w:rPr>
                <w:sz w:val="20"/>
                <w:szCs w:val="20"/>
              </w:rPr>
              <w:t>Standard 4 – Professional Culture</w:t>
            </w:r>
          </w:p>
        </w:tc>
        <w:tc>
          <w:tcPr>
            <w:tcW w:w="3932" w:type="dxa"/>
          </w:tcPr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Default="007D4403" w:rsidP="00076800">
            <w:pPr>
              <w:spacing w:after="0"/>
              <w:rPr>
                <w:sz w:val="10"/>
                <w:szCs w:val="10"/>
              </w:rPr>
            </w:pPr>
          </w:p>
          <w:p w:rsidR="007D4403" w:rsidRPr="00D91440" w:rsidRDefault="007D4403" w:rsidP="0007680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6984" w:type="dxa"/>
          </w:tcPr>
          <w:p w:rsidR="007D4403" w:rsidRDefault="007D4403" w:rsidP="00076800">
            <w:pPr>
              <w:spacing w:after="0"/>
              <w:rPr>
                <w:sz w:val="20"/>
                <w:szCs w:val="20"/>
              </w:rPr>
            </w:pPr>
          </w:p>
          <w:p w:rsidR="007D4403" w:rsidRDefault="007D4403" w:rsidP="00076800">
            <w:pPr>
              <w:spacing w:after="0"/>
              <w:rPr>
                <w:sz w:val="20"/>
                <w:szCs w:val="20"/>
              </w:rPr>
            </w:pPr>
          </w:p>
          <w:p w:rsidR="007D4403" w:rsidRPr="00960CC0" w:rsidRDefault="007D4403" w:rsidP="0007680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7443C" w:rsidRPr="00D91440" w:rsidRDefault="00C7443C" w:rsidP="004F1D24">
      <w:pPr>
        <w:spacing w:after="0"/>
        <w:rPr>
          <w:sz w:val="4"/>
          <w:szCs w:val="4"/>
        </w:rPr>
      </w:pPr>
    </w:p>
    <w:sectPr w:rsidR="00C7443C" w:rsidRPr="00D91440" w:rsidSect="00D91440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DA" w:rsidRDefault="006273DA" w:rsidP="00967D1C">
      <w:pPr>
        <w:spacing w:after="0" w:line="240" w:lineRule="auto"/>
      </w:pPr>
      <w:r>
        <w:separator/>
      </w:r>
    </w:p>
  </w:endnote>
  <w:endnote w:type="continuationSeparator" w:id="0">
    <w:p w:rsidR="006273DA" w:rsidRDefault="006273DA" w:rsidP="0096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DA" w:rsidRDefault="006273DA" w:rsidP="00967D1C">
      <w:pPr>
        <w:spacing w:after="0" w:line="240" w:lineRule="auto"/>
      </w:pPr>
      <w:r>
        <w:separator/>
      </w:r>
    </w:p>
  </w:footnote>
  <w:footnote w:type="continuationSeparator" w:id="0">
    <w:p w:rsidR="006273DA" w:rsidRDefault="006273DA" w:rsidP="0096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1C" w:rsidRDefault="00625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8C0B77" wp14:editId="04A0AAED">
              <wp:simplePos x="0" y="0"/>
              <wp:positionH relativeFrom="page">
                <wp:posOffset>914400</wp:posOffset>
              </wp:positionH>
              <wp:positionV relativeFrom="page">
                <wp:posOffset>371475</wp:posOffset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D1C" w:rsidRDefault="00967D1C">
                          <w:pPr>
                            <w:spacing w:after="0" w:line="240" w:lineRule="auto"/>
                          </w:pPr>
                          <w:r w:rsidRPr="00967D1C">
                            <w:rPr>
                              <w:b/>
                              <w:bCs/>
                            </w:rPr>
                            <w:t>Supporting Effective Teaching:  Guide to Educator Performance Evaluation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7" type="#_x0000_t202" style="position:absolute;margin-left:1in;margin-top:29.25pt;width:468pt;height:13.4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" o:allowincell="f" filled="f" stroked="f">
              <v:textbox style="mso-fit-shape-to-text:t" inset=",0,,0">
                <w:txbxContent>
                  <w:p w:rsidR="00967D1C" w:rsidRDefault="00967D1C">
                    <w:pPr>
                      <w:spacing w:after="0" w:line="240" w:lineRule="auto"/>
                    </w:pPr>
                    <w:r w:rsidRPr="00967D1C">
                      <w:rPr>
                        <w:b/>
                        <w:bCs/>
                      </w:rPr>
                      <w:t>Supporting Effective Teaching:  Guide to Educator Performance Evaluation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2C9FFA5" wp14:editId="3A612399">
              <wp:simplePos x="0" y="0"/>
              <wp:positionH relativeFrom="page">
                <wp:posOffset>0</wp:posOffset>
              </wp:positionH>
              <wp:positionV relativeFrom="page">
                <wp:posOffset>371475</wp:posOffset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967D1C" w:rsidRPr="00967D1C" w:rsidRDefault="00967D1C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8" type="#_x0000_t202" style="position:absolute;margin-left:0;margin-top:29.25pt;width:1in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" o:allowincell="f" fillcolor="#4f81bd" stroked="f">
              <v:textbox style="mso-fit-shape-to-text:t" inset=",0,,0">
                <w:txbxContent>
                  <w:p w:rsidR="00967D1C" w:rsidRPr="00967D1C" w:rsidRDefault="00967D1C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0B5E"/>
    <w:multiLevelType w:val="hybridMultilevel"/>
    <w:tmpl w:val="B21A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D3B11"/>
    <w:multiLevelType w:val="hybridMultilevel"/>
    <w:tmpl w:val="8EF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A6972"/>
    <w:multiLevelType w:val="hybridMultilevel"/>
    <w:tmpl w:val="F512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F35D2"/>
    <w:multiLevelType w:val="hybridMultilevel"/>
    <w:tmpl w:val="D4A6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0"/>
    <w:rsid w:val="00031010"/>
    <w:rsid w:val="00076800"/>
    <w:rsid w:val="00087DF1"/>
    <w:rsid w:val="00172300"/>
    <w:rsid w:val="001A4CDA"/>
    <w:rsid w:val="00265207"/>
    <w:rsid w:val="0027727A"/>
    <w:rsid w:val="00300061"/>
    <w:rsid w:val="003279B3"/>
    <w:rsid w:val="003E7B16"/>
    <w:rsid w:val="003F7315"/>
    <w:rsid w:val="0042377B"/>
    <w:rsid w:val="004456D7"/>
    <w:rsid w:val="00462761"/>
    <w:rsid w:val="004A6F45"/>
    <w:rsid w:val="004D13C5"/>
    <w:rsid w:val="004F1D24"/>
    <w:rsid w:val="00535D1E"/>
    <w:rsid w:val="005507F5"/>
    <w:rsid w:val="00554799"/>
    <w:rsid w:val="005E1B6B"/>
    <w:rsid w:val="005F7B3E"/>
    <w:rsid w:val="00625693"/>
    <w:rsid w:val="006273DA"/>
    <w:rsid w:val="006413B2"/>
    <w:rsid w:val="006623BE"/>
    <w:rsid w:val="00690050"/>
    <w:rsid w:val="0072053F"/>
    <w:rsid w:val="00721B36"/>
    <w:rsid w:val="00743FBE"/>
    <w:rsid w:val="00756449"/>
    <w:rsid w:val="0079467F"/>
    <w:rsid w:val="007D4403"/>
    <w:rsid w:val="00947A8B"/>
    <w:rsid w:val="00960CC0"/>
    <w:rsid w:val="00967D1C"/>
    <w:rsid w:val="009A7B5A"/>
    <w:rsid w:val="009F7079"/>
    <w:rsid w:val="00A2347D"/>
    <w:rsid w:val="00AB3CF8"/>
    <w:rsid w:val="00AC2701"/>
    <w:rsid w:val="00BA495A"/>
    <w:rsid w:val="00BF276A"/>
    <w:rsid w:val="00C7443C"/>
    <w:rsid w:val="00C86F13"/>
    <w:rsid w:val="00C91936"/>
    <w:rsid w:val="00CA5928"/>
    <w:rsid w:val="00CE170D"/>
    <w:rsid w:val="00D77573"/>
    <w:rsid w:val="00D91440"/>
    <w:rsid w:val="00E13676"/>
    <w:rsid w:val="00EF4FFE"/>
    <w:rsid w:val="00FA4F60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D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7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7D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7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76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276A"/>
    <w:rPr>
      <w:color w:val="808080"/>
    </w:rPr>
  </w:style>
  <w:style w:type="paragraph" w:styleId="ListParagraph">
    <w:name w:val="List Paragraph"/>
    <w:basedOn w:val="Normal"/>
    <w:uiPriority w:val="34"/>
    <w:qFormat/>
    <w:rsid w:val="00076800"/>
    <w:pPr>
      <w:ind w:left="720"/>
      <w:contextualSpacing/>
    </w:pPr>
  </w:style>
  <w:style w:type="table" w:styleId="TableGrid">
    <w:name w:val="Table Grid"/>
    <w:basedOn w:val="TableNormal"/>
    <w:uiPriority w:val="59"/>
    <w:rsid w:val="00076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D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7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7D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7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76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276A"/>
    <w:rPr>
      <w:color w:val="808080"/>
    </w:rPr>
  </w:style>
  <w:style w:type="paragraph" w:styleId="ListParagraph">
    <w:name w:val="List Paragraph"/>
    <w:basedOn w:val="Normal"/>
    <w:uiPriority w:val="34"/>
    <w:qFormat/>
    <w:rsid w:val="00076800"/>
    <w:pPr>
      <w:ind w:left="720"/>
      <w:contextualSpacing/>
    </w:pPr>
  </w:style>
  <w:style w:type="table" w:styleId="TableGrid">
    <w:name w:val="Table Grid"/>
    <w:basedOn w:val="TableNormal"/>
    <w:uiPriority w:val="59"/>
    <w:rsid w:val="00076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nect.mybps.org/groups/effectiveteachin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onnect.mybps.org/groups/effectiveteachi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03610\Dropbox\supporting%20effective%20teaching%20site\August%20Website%20Development\Documentation%20Guid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nect.mybps.org/groups/effectiveteaching/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6D2D4B4D3C40ACB4C5D1ADE75A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FBAF-6FA7-4B94-94A8-4222EFE0F669}"/>
      </w:docPartPr>
      <w:docPartBody>
        <w:p w:rsidR="00731686" w:rsidRDefault="003C2236">
          <w:pPr>
            <w:pStyle w:val="996D2D4B4D3C40ACB4C5D1ADE75A437B"/>
          </w:pPr>
          <w:r w:rsidRPr="00BF276A">
            <w:rPr>
              <w:rFonts w:cstheme="minorHAnsi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Find more resources </w:t>
          </w:r>
          <w:hyperlink r:id="rId5" w:history="1">
            <w:r w:rsidRPr="00BF276A">
              <w:rPr>
                <w:rStyle w:val="Hyperlink"/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here</w:t>
            </w:r>
          </w:hyperlink>
          <w:r w:rsidRPr="00BF276A">
            <w:rPr>
              <w:rFonts w:cstheme="minorHAnsi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at the Supporting Effective Teaching</w:t>
          </w:r>
          <w:r>
            <w:rPr>
              <w:rFonts w:cstheme="minorHAnsi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BF276A">
            <w:rPr>
              <w:rFonts w:cstheme="minorHAnsi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Website</w:t>
          </w:r>
          <w:r>
            <w:rPr>
              <w:rFonts w:cstheme="minorHAnsi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  <w:r w:rsidRPr="00FB2169">
            <w:rPr>
              <w:rFonts w:cstheme="minorHAnsi"/>
              <w:b/>
            </w:rPr>
            <w:t>https://connect.mybps.org/groups/effectiveteaching/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36"/>
    <w:rsid w:val="00333F63"/>
    <w:rsid w:val="00376B32"/>
    <w:rsid w:val="003C2236"/>
    <w:rsid w:val="00731686"/>
    <w:rsid w:val="00D4489A"/>
    <w:rsid w:val="00E040BA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996D2D4B4D3C40ACB4C5D1ADE75A437B">
    <w:name w:val="996D2D4B4D3C40ACB4C5D1ADE75A43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996D2D4B4D3C40ACB4C5D1ADE75A437B">
    <w:name w:val="996D2D4B4D3C40ACB4C5D1ADE75A4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4A59-55BA-4E58-977D-A65E6F96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Documentation Guide Template</Template>
  <TotalTime>246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Effective Teaching:  Guide to Educator Performance Evaluation</vt:lpstr>
    </vt:vector>
  </TitlesOfParts>
  <Company>BPS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Effective Teaching:  Guide to Educator Performance Evaluation</dc:title>
  <dc:creator>Chason Ishino</dc:creator>
  <cp:lastModifiedBy>Emily and Kevin</cp:lastModifiedBy>
  <cp:revision>11</cp:revision>
  <cp:lastPrinted>2012-07-24T13:15:00Z</cp:lastPrinted>
  <dcterms:created xsi:type="dcterms:W3CDTF">2012-07-24T17:31:00Z</dcterms:created>
  <dcterms:modified xsi:type="dcterms:W3CDTF">2012-08-13T01:05:00Z</dcterms:modified>
</cp:coreProperties>
</file>