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7E" w:rsidRPr="006A047E" w:rsidRDefault="003063EE" w:rsidP="006A047E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inline distT="0" distB="0" distL="0" distR="0" wp14:anchorId="16E5FD42" wp14:editId="103198F5">
            <wp:extent cx="1983179" cy="121818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logo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79" cy="12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C13">
        <w:rPr>
          <w:sz w:val="52"/>
          <w:szCs w:val="52"/>
        </w:rPr>
        <w:br/>
      </w:r>
      <w:r w:rsidR="003D4C13">
        <w:rPr>
          <w:sz w:val="32"/>
          <w:szCs w:val="32"/>
        </w:rPr>
        <w:br/>
      </w:r>
      <w:r w:rsidRPr="003063EE">
        <w:rPr>
          <w:sz w:val="52"/>
          <w:szCs w:val="52"/>
        </w:rPr>
        <w:t>Evaluation Tip</w:t>
      </w:r>
      <w:r>
        <w:rPr>
          <w:sz w:val="52"/>
          <w:szCs w:val="52"/>
        </w:rPr>
        <w:t>s</w:t>
      </w:r>
      <w:r w:rsidR="00F77ECE">
        <w:rPr>
          <w:sz w:val="52"/>
          <w:szCs w:val="52"/>
        </w:rPr>
        <w:t xml:space="preserve">: </w:t>
      </w:r>
      <w:r w:rsidR="001C1241">
        <w:rPr>
          <w:sz w:val="52"/>
          <w:szCs w:val="52"/>
        </w:rPr>
        <w:t>February</w:t>
      </w:r>
      <w:r w:rsidR="007029FE">
        <w:rPr>
          <w:sz w:val="52"/>
          <w:szCs w:val="52"/>
        </w:rPr>
        <w:t xml:space="preserve"> 2013</w:t>
      </w:r>
    </w:p>
    <w:p w:rsidR="00B209DC" w:rsidRPr="004A3C42" w:rsidRDefault="00B209DC" w:rsidP="006A047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Anatomy of a Formative Assessment</w:t>
      </w:r>
    </w:p>
    <w:p w:rsidR="00B209DC" w:rsidRPr="000D527C" w:rsidRDefault="00B209DC" w:rsidP="00B209DC">
      <w:pPr>
        <w:rPr>
          <w:sz w:val="26"/>
          <w:szCs w:val="26"/>
        </w:rPr>
      </w:pPr>
      <w:r w:rsidRPr="000D527C">
        <w:rPr>
          <w:sz w:val="26"/>
          <w:szCs w:val="26"/>
        </w:rPr>
        <w:t>Formative assessments give educators</w:t>
      </w:r>
      <w:r w:rsidR="00577072" w:rsidRPr="000D527C">
        <w:rPr>
          <w:sz w:val="26"/>
          <w:szCs w:val="26"/>
        </w:rPr>
        <w:t xml:space="preserve"> a</w:t>
      </w:r>
      <w:r w:rsidRPr="000D527C">
        <w:rPr>
          <w:sz w:val="26"/>
          <w:szCs w:val="26"/>
        </w:rPr>
        <w:t xml:space="preserve"> progress report on their performance</w:t>
      </w:r>
      <w:r w:rsidR="00932F57">
        <w:rPr>
          <w:sz w:val="26"/>
          <w:szCs w:val="26"/>
        </w:rPr>
        <w:t xml:space="preserve"> at or near</w:t>
      </w:r>
      <w:r w:rsidR="00577072" w:rsidRPr="000D527C">
        <w:rPr>
          <w:sz w:val="26"/>
          <w:szCs w:val="26"/>
        </w:rPr>
        <w:t xml:space="preserve"> the midpoint of their plan</w:t>
      </w:r>
      <w:r w:rsidRPr="000D527C">
        <w:rPr>
          <w:sz w:val="26"/>
          <w:szCs w:val="26"/>
        </w:rPr>
        <w:t xml:space="preserve">.  </w:t>
      </w:r>
      <w:r w:rsidR="00577072" w:rsidRPr="000D527C">
        <w:rPr>
          <w:sz w:val="26"/>
          <w:szCs w:val="26"/>
        </w:rPr>
        <w:t xml:space="preserve">Evaluators </w:t>
      </w:r>
      <w:r w:rsidR="00577072" w:rsidRPr="00D0503D">
        <w:rPr>
          <w:b/>
          <w:sz w:val="26"/>
          <w:szCs w:val="26"/>
        </w:rPr>
        <w:t>may</w:t>
      </w:r>
      <w:r w:rsidR="00577072" w:rsidRPr="000D527C">
        <w:rPr>
          <w:sz w:val="26"/>
          <w:szCs w:val="26"/>
        </w:rPr>
        <w:t xml:space="preserve"> also choose to change an educator’s plan if the overall rating is different than the previous evaluation rating.  The formative assessment is broken up into </w:t>
      </w:r>
      <w:r w:rsidR="000D527C">
        <w:rPr>
          <w:sz w:val="26"/>
          <w:szCs w:val="26"/>
        </w:rPr>
        <w:t>five different parts: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0"/>
        <w:gridCol w:w="596"/>
        <w:gridCol w:w="1721"/>
        <w:gridCol w:w="604"/>
        <w:gridCol w:w="1723"/>
        <w:gridCol w:w="604"/>
        <w:gridCol w:w="1721"/>
        <w:gridCol w:w="606"/>
        <w:gridCol w:w="1721"/>
      </w:tblGrid>
      <w:tr w:rsidR="00CB438E" w:rsidTr="00CB438E">
        <w:tc>
          <w:tcPr>
            <w:tcW w:w="2889" w:type="pct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:rsidR="00CB438E" w:rsidRPr="00CB438E" w:rsidRDefault="00CB438E" w:rsidP="00577072">
            <w:pPr>
              <w:jc w:val="center"/>
              <w:rPr>
                <w:b/>
                <w:i/>
                <w:sz w:val="24"/>
                <w:szCs w:val="24"/>
              </w:rPr>
            </w:pPr>
            <w:r w:rsidRPr="00CB438E">
              <w:rPr>
                <w:b/>
                <w:i/>
                <w:sz w:val="24"/>
                <w:szCs w:val="24"/>
              </w:rPr>
              <w:t>Required for all educators</w:t>
            </w:r>
          </w:p>
        </w:tc>
        <w:tc>
          <w:tcPr>
            <w:tcW w:w="27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B438E" w:rsidRDefault="00CB438E" w:rsidP="00577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B438E" w:rsidRPr="00CB438E" w:rsidRDefault="00CB438E" w:rsidP="00577072">
            <w:pPr>
              <w:jc w:val="center"/>
              <w:rPr>
                <w:b/>
                <w:i/>
                <w:sz w:val="24"/>
                <w:szCs w:val="24"/>
              </w:rPr>
            </w:pPr>
            <w:r w:rsidRPr="00CB438E">
              <w:rPr>
                <w:b/>
                <w:i/>
                <w:sz w:val="24"/>
                <w:szCs w:val="24"/>
              </w:rPr>
              <w:t>If applicable</w:t>
            </w:r>
          </w:p>
        </w:tc>
      </w:tr>
      <w:tr w:rsidR="00577072" w:rsidTr="00CB438E">
        <w:tc>
          <w:tcPr>
            <w:tcW w:w="78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7072" w:rsidRPr="00577072" w:rsidRDefault="00932F57" w:rsidP="0057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 on progress toward g</w:t>
            </w:r>
            <w:r w:rsidR="00577072" w:rsidRPr="00577072">
              <w:rPr>
                <w:sz w:val="24"/>
                <w:szCs w:val="24"/>
              </w:rPr>
              <w:t>oals</w:t>
            </w:r>
          </w:p>
        </w:tc>
        <w:tc>
          <w:tcPr>
            <w:tcW w:w="271" w:type="pct"/>
            <w:tcBorders>
              <w:top w:val="nil"/>
              <w:bottom w:val="single" w:sz="18" w:space="0" w:color="auto"/>
            </w:tcBorders>
            <w:vAlign w:val="center"/>
          </w:tcPr>
          <w:p w:rsidR="00577072" w:rsidRPr="00577072" w:rsidRDefault="00577072" w:rsidP="0057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77072" w:rsidRPr="00577072" w:rsidRDefault="00932F57" w:rsidP="0093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 on performance in the four s</w:t>
            </w:r>
            <w:r w:rsidR="00577072">
              <w:rPr>
                <w:sz w:val="24"/>
                <w:szCs w:val="24"/>
              </w:rPr>
              <w:t>tandards</w:t>
            </w:r>
          </w:p>
        </w:tc>
        <w:tc>
          <w:tcPr>
            <w:tcW w:w="274" w:type="pct"/>
            <w:tcBorders>
              <w:top w:val="nil"/>
              <w:bottom w:val="single" w:sz="18" w:space="0" w:color="auto"/>
            </w:tcBorders>
            <w:vAlign w:val="center"/>
          </w:tcPr>
          <w:p w:rsidR="00577072" w:rsidRPr="00577072" w:rsidRDefault="00CB438E" w:rsidP="0057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7072" w:rsidRPr="00577072" w:rsidRDefault="00CB438E" w:rsidP="0057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Rating</w:t>
            </w:r>
          </w:p>
        </w:tc>
        <w:tc>
          <w:tcPr>
            <w:tcW w:w="27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77072" w:rsidRPr="00577072" w:rsidRDefault="00577072" w:rsidP="00577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7072" w:rsidRPr="00577072" w:rsidRDefault="00CB438E" w:rsidP="00CB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Prescriptions (for standards rated NI or Unsatisfactory) </w:t>
            </w:r>
          </w:p>
        </w:tc>
        <w:tc>
          <w:tcPr>
            <w:tcW w:w="275" w:type="pct"/>
            <w:tcBorders>
              <w:top w:val="nil"/>
              <w:bottom w:val="single" w:sz="18" w:space="0" w:color="auto"/>
            </w:tcBorders>
            <w:vAlign w:val="center"/>
          </w:tcPr>
          <w:p w:rsidR="00577072" w:rsidRDefault="00D35802" w:rsidP="0057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7072" w:rsidRDefault="00CB438E" w:rsidP="00CB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 from Evaluators and Educators</w:t>
            </w:r>
          </w:p>
        </w:tc>
      </w:tr>
    </w:tbl>
    <w:p w:rsidR="004A3C42" w:rsidRPr="004A3C42" w:rsidRDefault="00577072" w:rsidP="006A047E">
      <w:pPr>
        <w:spacing w:after="0"/>
        <w:rPr>
          <w:b/>
          <w:sz w:val="32"/>
          <w:szCs w:val="32"/>
        </w:rPr>
      </w:pPr>
      <w:r w:rsidRPr="00A74C6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C3703" wp14:editId="43D718E0">
                <wp:simplePos x="0" y="0"/>
                <wp:positionH relativeFrom="column">
                  <wp:posOffset>4008120</wp:posOffset>
                </wp:positionH>
                <wp:positionV relativeFrom="paragraph">
                  <wp:posOffset>353060</wp:posOffset>
                </wp:positionV>
                <wp:extent cx="2788285" cy="2551430"/>
                <wp:effectExtent l="38100" t="38100" r="107315" b="1155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6341F" w:rsidRPr="003C1114" w:rsidRDefault="0086341F" w:rsidP="003C11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Note about Uploading Videos</w:t>
                            </w:r>
                          </w:p>
                          <w:p w:rsidR="0086341F" w:rsidRPr="004A3C42" w:rsidRDefault="0086341F" w:rsidP="003C11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70"/>
                            </w:pPr>
                            <w:r>
                              <w:t>Video artifacts should focus on a specific practice the educator wants to highlight</w:t>
                            </w:r>
                            <w:r w:rsidR="000D527C">
                              <w:t>,</w:t>
                            </w:r>
                            <w:r>
                              <w:t xml:space="preserve"> rather than an entire lesson.   </w:t>
                            </w:r>
                          </w:p>
                          <w:p w:rsidR="0086341F" w:rsidRPr="004A3C42" w:rsidRDefault="0086341F" w:rsidP="003C11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70"/>
                            </w:pPr>
                            <w:r>
                              <w:t xml:space="preserve">File sizes should be at most 25-50 megabytes in length and recorded in Standard Definition, not High Definition.  </w:t>
                            </w:r>
                          </w:p>
                          <w:p w:rsidR="0086341F" w:rsidRPr="004A3C42" w:rsidRDefault="0086341F" w:rsidP="00287E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70"/>
                            </w:pPr>
                            <w:r>
                              <w:t xml:space="preserve">Videos should not exceed 5 minutes in length.  If it’s necessary to use a longer clip, </w:t>
                            </w:r>
                            <w:r w:rsidR="000D527C">
                              <w:t>consider making</w:t>
                            </w:r>
                            <w:r>
                              <w:t xml:space="preserve"> the video available on a disc, shar</w:t>
                            </w:r>
                            <w:r w:rsidR="000D527C">
                              <w:t xml:space="preserve">ing an “Artifacts” </w:t>
                            </w:r>
                            <w:proofErr w:type="spellStart"/>
                            <w:r w:rsidR="000D527C">
                              <w:t>dropbox</w:t>
                            </w:r>
                            <w:proofErr w:type="spellEnd"/>
                            <w:r w:rsidR="000D527C">
                              <w:t xml:space="preserve"> folder, or uploading</w:t>
                            </w:r>
                            <w:r>
                              <w:t xml:space="preserve"> it to a secure video hosting website with privacy controls.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6pt;margin-top:27.8pt;width:219.55pt;height:2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">
                <v:shadow on="t" color="black" opacity="26214f" origin="-.5,-.5" offset=".74836mm,.74836mm"/>
                <v:textbox>
                  <w:txbxContent>
                    <w:p w:rsidR="0086341F" w:rsidRPr="003C1114" w:rsidRDefault="0086341F" w:rsidP="003C11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Note about Uploading Videos</w:t>
                      </w:r>
                    </w:p>
                    <w:p w:rsidR="0086341F" w:rsidRPr="004A3C42" w:rsidRDefault="0086341F" w:rsidP="003C11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70"/>
                      </w:pPr>
                      <w:r>
                        <w:t>Video artifacts should focus on a specific practice the educator wants to highlight</w:t>
                      </w:r>
                      <w:r w:rsidR="000D527C">
                        <w:t>,</w:t>
                      </w:r>
                      <w:r>
                        <w:t xml:space="preserve"> rather than an entire lesson.   </w:t>
                      </w:r>
                    </w:p>
                    <w:p w:rsidR="0086341F" w:rsidRPr="004A3C42" w:rsidRDefault="0086341F" w:rsidP="003C11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70"/>
                      </w:pPr>
                      <w:r>
                        <w:t xml:space="preserve">File sizes should be at most 25-50 megabytes in length and recorded in Standard Definition, not High Definition.  </w:t>
                      </w:r>
                    </w:p>
                    <w:p w:rsidR="0086341F" w:rsidRPr="004A3C42" w:rsidRDefault="0086341F" w:rsidP="00287EB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70"/>
                      </w:pPr>
                      <w:r>
                        <w:t xml:space="preserve">Videos should not exceed 5 minutes in length.  If it’s necessary to use a longer clip, </w:t>
                      </w:r>
                      <w:r w:rsidR="000D527C">
                        <w:t>consider making</w:t>
                      </w:r>
                      <w:r>
                        <w:t xml:space="preserve"> the video available on a disc, shar</w:t>
                      </w:r>
                      <w:r w:rsidR="000D527C">
                        <w:t xml:space="preserve">ing an “Artifacts” </w:t>
                      </w:r>
                      <w:proofErr w:type="spellStart"/>
                      <w:r w:rsidR="000D527C">
                        <w:t>dropbox</w:t>
                      </w:r>
                      <w:proofErr w:type="spellEnd"/>
                      <w:r w:rsidR="000D527C">
                        <w:t xml:space="preserve"> folder, or uploading</w:t>
                      </w:r>
                      <w:r>
                        <w:t xml:space="preserve"> it to a secure video hosting website with privacy controls.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br/>
      </w:r>
      <w:r w:rsidR="000D527C">
        <w:rPr>
          <w:b/>
          <w:sz w:val="32"/>
          <w:szCs w:val="32"/>
        </w:rPr>
        <w:t xml:space="preserve">Getting the Most out of Artifact Rationales </w:t>
      </w:r>
    </w:p>
    <w:p w:rsidR="000D527C" w:rsidRPr="000D527C" w:rsidRDefault="00932F57" w:rsidP="000D527C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="003D4C13">
        <w:rPr>
          <w:sz w:val="26"/>
          <w:szCs w:val="26"/>
        </w:rPr>
        <w:t xml:space="preserve">riting a thoughtful </w:t>
      </w:r>
      <w:r>
        <w:rPr>
          <w:sz w:val="26"/>
          <w:szCs w:val="26"/>
        </w:rPr>
        <w:t>rati</w:t>
      </w:r>
      <w:r w:rsidR="00D35802">
        <w:rPr>
          <w:sz w:val="26"/>
          <w:szCs w:val="26"/>
        </w:rPr>
        <w:t xml:space="preserve">onale for an artifact helps you to pinpoint for your evaluator the specific </w:t>
      </w:r>
      <w:r w:rsidR="000D527C">
        <w:rPr>
          <w:sz w:val="26"/>
          <w:szCs w:val="26"/>
        </w:rPr>
        <w:t>proficient practice</w:t>
      </w:r>
      <w:r w:rsidR="00D35802">
        <w:rPr>
          <w:sz w:val="26"/>
          <w:szCs w:val="26"/>
        </w:rPr>
        <w:t xml:space="preserve"> you are highlighting</w:t>
      </w:r>
      <w:r w:rsidR="000D527C">
        <w:rPr>
          <w:sz w:val="26"/>
          <w:szCs w:val="26"/>
        </w:rPr>
        <w:t>.  Here are a few tips for writ</w:t>
      </w:r>
      <w:r w:rsidR="00D35802">
        <w:rPr>
          <w:sz w:val="26"/>
          <w:szCs w:val="26"/>
        </w:rPr>
        <w:t>ing artifact r</w:t>
      </w:r>
      <w:r w:rsidR="003D4C13">
        <w:rPr>
          <w:sz w:val="26"/>
          <w:szCs w:val="26"/>
        </w:rPr>
        <w:t xml:space="preserve">ationales:  </w:t>
      </w:r>
    </w:p>
    <w:p w:rsidR="004A3C42" w:rsidRPr="000D527C" w:rsidRDefault="003D4C13" w:rsidP="004A3C42">
      <w:pPr>
        <w:pStyle w:val="ListParagraph"/>
        <w:numPr>
          <w:ilvl w:val="0"/>
          <w:numId w:val="2"/>
        </w:numPr>
        <w:ind w:left="540"/>
        <w:rPr>
          <w:sz w:val="26"/>
          <w:szCs w:val="26"/>
        </w:rPr>
      </w:pPr>
      <w:r>
        <w:rPr>
          <w:sz w:val="26"/>
          <w:szCs w:val="26"/>
        </w:rPr>
        <w:t>Explicitly connect y</w:t>
      </w:r>
      <w:r w:rsidR="00D35802">
        <w:rPr>
          <w:sz w:val="26"/>
          <w:szCs w:val="26"/>
        </w:rPr>
        <w:t xml:space="preserve">our artifact to an indicator or </w:t>
      </w:r>
      <w:r>
        <w:rPr>
          <w:sz w:val="26"/>
          <w:szCs w:val="26"/>
        </w:rPr>
        <w:t>element</w:t>
      </w:r>
      <w:r w:rsidR="00D35802">
        <w:rPr>
          <w:sz w:val="26"/>
          <w:szCs w:val="26"/>
        </w:rPr>
        <w:t xml:space="preserve"> from the rubric</w:t>
      </w:r>
      <w:r>
        <w:rPr>
          <w:sz w:val="26"/>
          <w:szCs w:val="26"/>
        </w:rPr>
        <w:t xml:space="preserve">.  </w:t>
      </w:r>
    </w:p>
    <w:p w:rsidR="004A3C42" w:rsidRPr="000D527C" w:rsidRDefault="003D4C13" w:rsidP="004A3C42">
      <w:pPr>
        <w:pStyle w:val="ListParagraph"/>
        <w:numPr>
          <w:ilvl w:val="0"/>
          <w:numId w:val="2"/>
        </w:numPr>
        <w:ind w:left="540"/>
        <w:rPr>
          <w:sz w:val="26"/>
          <w:szCs w:val="26"/>
        </w:rPr>
      </w:pPr>
      <w:r>
        <w:rPr>
          <w:sz w:val="26"/>
          <w:szCs w:val="26"/>
        </w:rPr>
        <w:t xml:space="preserve">Point out specific places within your artifact that highlight the practice you want to present.  </w:t>
      </w:r>
    </w:p>
    <w:p w:rsidR="003D4C13" w:rsidRPr="003D4C13" w:rsidRDefault="003D4C13" w:rsidP="003D4C13">
      <w:pPr>
        <w:pStyle w:val="ListParagraph"/>
        <w:numPr>
          <w:ilvl w:val="0"/>
          <w:numId w:val="2"/>
        </w:numPr>
        <w:ind w:left="540"/>
        <w:rPr>
          <w:sz w:val="26"/>
          <w:szCs w:val="26"/>
        </w:rPr>
      </w:pPr>
      <w:r>
        <w:rPr>
          <w:sz w:val="26"/>
          <w:szCs w:val="26"/>
        </w:rPr>
        <w:t xml:space="preserve">Articulate what impact on student learning your artifact demonstrates.  </w:t>
      </w:r>
    </w:p>
    <w:p w:rsidR="00606F60" w:rsidRPr="003D4C13" w:rsidRDefault="005172D7" w:rsidP="006A047E">
      <w:pPr>
        <w:spacing w:after="0"/>
        <w:rPr>
          <w:sz w:val="26"/>
          <w:szCs w:val="26"/>
        </w:rPr>
      </w:pPr>
      <w:r>
        <w:rPr>
          <w:b/>
          <w:sz w:val="32"/>
          <w:szCs w:val="32"/>
        </w:rPr>
        <w:t>All-</w:t>
      </w:r>
      <w:r w:rsidR="00187694" w:rsidRPr="003D4C13">
        <w:rPr>
          <w:b/>
          <w:sz w:val="32"/>
          <w:szCs w:val="32"/>
        </w:rPr>
        <w:t>New M</w:t>
      </w:r>
      <w:r w:rsidR="007251A7" w:rsidRPr="003D4C13">
        <w:rPr>
          <w:b/>
          <w:sz w:val="32"/>
          <w:szCs w:val="32"/>
        </w:rPr>
        <w:t>eeting</w:t>
      </w:r>
      <w:r>
        <w:rPr>
          <w:b/>
          <w:sz w:val="32"/>
          <w:szCs w:val="32"/>
        </w:rPr>
        <w:t>s</w:t>
      </w:r>
      <w:r w:rsidR="007251A7" w:rsidRPr="003D4C13">
        <w:rPr>
          <w:b/>
          <w:sz w:val="32"/>
          <w:szCs w:val="32"/>
        </w:rPr>
        <w:t xml:space="preserve"> Icon</w:t>
      </w:r>
    </w:p>
    <w:p w:rsidR="00B83749" w:rsidRPr="003D4C13" w:rsidRDefault="00784A15" w:rsidP="003D4C13">
      <w:pPr>
        <w:ind w:left="180"/>
        <w:rPr>
          <w:sz w:val="24"/>
          <w:szCs w:val="2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22A356A" wp14:editId="184FDF87">
            <wp:simplePos x="0" y="0"/>
            <wp:positionH relativeFrom="column">
              <wp:posOffset>-32385</wp:posOffset>
            </wp:positionH>
            <wp:positionV relativeFrom="paragraph">
              <wp:posOffset>635</wp:posOffset>
            </wp:positionV>
            <wp:extent cx="788035" cy="956310"/>
            <wp:effectExtent l="0" t="0" r="0" b="0"/>
            <wp:wrapSquare wrapText="bothSides"/>
            <wp:docPr id="2" name="Picture 2" descr="C:\Users\X03610\Dropbox\Working\SS\Snap 2013-02-11 at 14.46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03610\Dropbox\Working\SS\Snap 2013-02-11 at 14.46.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2D7">
        <w:rPr>
          <w:sz w:val="24"/>
          <w:szCs w:val="24"/>
        </w:rPr>
        <w:t>The Meetings i</w:t>
      </w:r>
      <w:r w:rsidR="007251A7" w:rsidRPr="003D4C13">
        <w:rPr>
          <w:sz w:val="24"/>
          <w:szCs w:val="24"/>
        </w:rPr>
        <w:t>c</w:t>
      </w:r>
      <w:r w:rsidR="00845AC3" w:rsidRPr="003D4C13">
        <w:rPr>
          <w:sz w:val="24"/>
          <w:szCs w:val="24"/>
        </w:rPr>
        <w:t>on has been added to the EDFS</w:t>
      </w:r>
      <w:r w:rsidR="000D527C" w:rsidRPr="003D4C13">
        <w:rPr>
          <w:sz w:val="24"/>
          <w:szCs w:val="24"/>
        </w:rPr>
        <w:t xml:space="preserve"> as one way fo</w:t>
      </w:r>
      <w:r w:rsidR="00845AC3" w:rsidRPr="003D4C13">
        <w:rPr>
          <w:sz w:val="24"/>
          <w:szCs w:val="24"/>
        </w:rPr>
        <w:t xml:space="preserve">r evaluators to capture meetings they have had with </w:t>
      </w:r>
      <w:r w:rsidR="000D527C" w:rsidRPr="003D4C13">
        <w:rPr>
          <w:sz w:val="24"/>
          <w:szCs w:val="24"/>
        </w:rPr>
        <w:t>educators and</w:t>
      </w:r>
      <w:r w:rsidR="00845AC3" w:rsidRPr="003D4C13">
        <w:rPr>
          <w:sz w:val="24"/>
          <w:szCs w:val="24"/>
        </w:rPr>
        <w:t xml:space="preserve"> to schedule future meetings.  </w:t>
      </w:r>
      <w:r w:rsidR="000D527C" w:rsidRPr="003D4C13">
        <w:rPr>
          <w:sz w:val="24"/>
          <w:szCs w:val="24"/>
        </w:rPr>
        <w:t xml:space="preserve">Both the evaluator and the educator are able to contribute notes and comments to document the conversation and record possible takeaways or follow-up actions.  </w:t>
      </w:r>
    </w:p>
    <w:sectPr w:rsidR="00B83749" w:rsidRPr="003D4C13" w:rsidSect="00CB438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BE3"/>
    <w:multiLevelType w:val="hybridMultilevel"/>
    <w:tmpl w:val="9A44A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55FB"/>
    <w:multiLevelType w:val="hybridMultilevel"/>
    <w:tmpl w:val="6FF4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EE"/>
    <w:rsid w:val="00041354"/>
    <w:rsid w:val="000B5FE4"/>
    <w:rsid w:val="000D527C"/>
    <w:rsid w:val="00147BD7"/>
    <w:rsid w:val="00187694"/>
    <w:rsid w:val="001C1241"/>
    <w:rsid w:val="002125CD"/>
    <w:rsid w:val="00287EB0"/>
    <w:rsid w:val="003063EE"/>
    <w:rsid w:val="003A0022"/>
    <w:rsid w:val="003C1114"/>
    <w:rsid w:val="003D4C13"/>
    <w:rsid w:val="004A3C42"/>
    <w:rsid w:val="005172D7"/>
    <w:rsid w:val="0055240A"/>
    <w:rsid w:val="00577072"/>
    <w:rsid w:val="005E3AC7"/>
    <w:rsid w:val="00606F60"/>
    <w:rsid w:val="006A047E"/>
    <w:rsid w:val="007029FE"/>
    <w:rsid w:val="007251A7"/>
    <w:rsid w:val="00784A15"/>
    <w:rsid w:val="0078763B"/>
    <w:rsid w:val="007A53AA"/>
    <w:rsid w:val="00845AC3"/>
    <w:rsid w:val="0086341F"/>
    <w:rsid w:val="00923B34"/>
    <w:rsid w:val="00932F57"/>
    <w:rsid w:val="009B169E"/>
    <w:rsid w:val="00A74C63"/>
    <w:rsid w:val="00B209DC"/>
    <w:rsid w:val="00B70ED4"/>
    <w:rsid w:val="00B83749"/>
    <w:rsid w:val="00CB438E"/>
    <w:rsid w:val="00CF1100"/>
    <w:rsid w:val="00D0503D"/>
    <w:rsid w:val="00D35802"/>
    <w:rsid w:val="00D5460B"/>
    <w:rsid w:val="00D72A6F"/>
    <w:rsid w:val="00DF6367"/>
    <w:rsid w:val="00EA25FD"/>
    <w:rsid w:val="00F77ECE"/>
    <w:rsid w:val="00FC29A2"/>
    <w:rsid w:val="00FE3BFA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EC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7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EC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7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B859-E6AC-4BA3-8D72-761141A1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Chason Ishino</dc:creator>
  <cp:lastModifiedBy>Chason Ishino</cp:lastModifiedBy>
  <cp:revision>2</cp:revision>
  <dcterms:created xsi:type="dcterms:W3CDTF">2013-02-14T22:16:00Z</dcterms:created>
  <dcterms:modified xsi:type="dcterms:W3CDTF">2013-02-14T22:16:00Z</dcterms:modified>
</cp:coreProperties>
</file>